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CHECKLIST PARA PROCESSO DE PARCELAMENTO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(documentos e informações essenciais para abertura de processo)</w:t>
      </w:r>
    </w:p>
    <w:p w:rsidR="00000000" w:rsidDel="00000000" w:rsidP="00000000" w:rsidRDefault="00000000" w:rsidRPr="00000000" w14:paraId="00000003">
      <w:pPr>
        <w:spacing w:after="10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libri" w:cs="Calibri" w:eastAsia="Calibri" w:hAnsi="Calibri"/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Alvará/</w:t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u w:val="single"/>
          <w:rtl w:val="0"/>
        </w:rPr>
        <w:t xml:space="preserve">Certidão de Reunião e Desmembramento de Lotes 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Calibri" w:cs="Calibri" w:eastAsia="Calibri" w:hAnsi="Calibri"/>
          <w:b w:val="1"/>
          <w:sz w:val="30"/>
          <w:szCs w:val="3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u w:val="single"/>
          <w:rtl w:val="0"/>
        </w:rPr>
        <w:t xml:space="preserve">(Terreno Próprio</w:t>
      </w: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line="240" w:lineRule="auto"/>
        <w:jc w:val="center"/>
        <w:rPr>
          <w:rFonts w:ascii="Calibri" w:cs="Calibri" w:eastAsia="Calibri" w:hAnsi="Calibri"/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DOCUMENTAÇÃO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Checklist para processo de Parcelamento;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Xérox do RG/ CPF (Pessoa Física) ou CNPJ (Pessoa Jurídica);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Certidão Negativa de Débitos Municipais;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Escritura Pública ou Certidão de Matrícula (com no </w:t>
      </w:r>
      <w:r w:rsidDel="00000000" w:rsidR="00000000" w:rsidRPr="00000000">
        <w:rPr>
          <w:sz w:val="18"/>
          <w:szCs w:val="18"/>
          <w:rtl w:val="0"/>
        </w:rPr>
        <w:t xml:space="preserve">mínimo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30 dias);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ART/RRT/CRT – Para Reunião de Lotes;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Projeto em meio digital (PDF) e em DWG (Versão até 2013) – Seguir modelo da SEMURB;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Memorial Descritivo - Seguir modelo da SEMURB.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OBS-01: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Este documento impresso e preenchido deve ser apresentado quando da abertura do processo.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OBS-02: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Processo a ser 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protocolado/tramitando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 por terceiros, deve apresentar procuração específica (ver modelo na página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14"/>
            <w:szCs w:val="14"/>
            <w:highlight w:val="white"/>
            <w:u w:val="single"/>
            <w:vertAlign w:val="baseline"/>
            <w:rtl w:val="0"/>
          </w:rPr>
          <w:t xml:space="preserve">www.natal.rn.gov.br/semurb/licenciamento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OBS-03: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highlight w:val="white"/>
          <w:u w:val="none"/>
          <w:vertAlign w:val="baseline"/>
          <w:rtl w:val="0"/>
        </w:rPr>
        <w:t xml:space="preserve">Durante a análise, novos documentos podem ser solicitados à critério do analista.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sz w:val="14"/>
          <w:szCs w:val="14"/>
          <w:highlight w:val="white"/>
        </w:rPr>
      </w:pPr>
      <w:r w:rsidDel="00000000" w:rsidR="00000000" w:rsidRPr="00000000">
        <w:rPr>
          <w:b w:val="1"/>
          <w:sz w:val="14"/>
          <w:szCs w:val="14"/>
          <w:highlight w:val="white"/>
          <w:rtl w:val="0"/>
        </w:rPr>
        <w:t xml:space="preserve">OBS-04: </w:t>
      </w:r>
      <w:r w:rsidDel="00000000" w:rsidR="00000000" w:rsidRPr="00000000">
        <w:rPr>
          <w:sz w:val="14"/>
          <w:szCs w:val="14"/>
          <w:highlight w:val="white"/>
          <w:rtl w:val="0"/>
        </w:rPr>
        <w:t xml:space="preserve">Nos processos de pessoa jurídica incluir documento e comprovante do representante legal.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14"/>
          <w:szCs w:val="1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INFORMAÇÕES BÁSICAS SOBRE O IMÓVEL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     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Endereço: 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                                                                                                                                   CEP:   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   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Complemento: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                                                     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Lotes Nº:                                                                                                                                             Quadra Nº:          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Nº. Oficiais:                                                         Bairro:                                                              Zona:             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Área do terreno (reunido): </w:t>
      </w:r>
      <w:r w:rsidDel="00000000" w:rsidR="00000000" w:rsidRPr="00000000">
        <w:rPr>
          <w:rFonts w:ascii="Calibri" w:cs="Calibri" w:eastAsia="Calibri" w:hAnsi="Calibri"/>
          <w:sz w:val="18"/>
          <w:szCs w:val="18"/>
          <w:shd w:fill="bfbfbf" w:val="clear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m²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Área de cada lote após desmembramento: </w:t>
      </w:r>
      <w:r w:rsidDel="00000000" w:rsidR="00000000" w:rsidRPr="00000000">
        <w:rPr>
          <w:rFonts w:ascii="Calibri" w:cs="Calibri" w:eastAsia="Calibri" w:hAnsi="Calibri"/>
          <w:sz w:val="18"/>
          <w:szCs w:val="18"/>
          <w:shd w:fill="bfbfbf" w:val="clear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m²/ </w:t>
      </w:r>
      <w:r w:rsidDel="00000000" w:rsidR="00000000" w:rsidRPr="00000000">
        <w:rPr>
          <w:rFonts w:ascii="Calibri" w:cs="Calibri" w:eastAsia="Calibri" w:hAnsi="Calibri"/>
          <w:sz w:val="18"/>
          <w:szCs w:val="18"/>
          <w:shd w:fill="bfbfbf" w:val="clear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m²/</w:t>
      </w:r>
      <w:r w:rsidDel="00000000" w:rsidR="00000000" w:rsidRPr="00000000">
        <w:rPr>
          <w:rFonts w:ascii="Calibri" w:cs="Calibri" w:eastAsia="Calibri" w:hAnsi="Calibri"/>
          <w:sz w:val="18"/>
          <w:szCs w:val="18"/>
          <w:shd w:fill="bfbfbf" w:val="clear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m²/ </w:t>
      </w:r>
      <w:r w:rsidDel="00000000" w:rsidR="00000000" w:rsidRPr="00000000">
        <w:rPr>
          <w:rFonts w:ascii="Calibri" w:cs="Calibri" w:eastAsia="Calibri" w:hAnsi="Calibri"/>
          <w:sz w:val="18"/>
          <w:szCs w:val="18"/>
          <w:shd w:fill="bfbfbf" w:val="clear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m²/</w:t>
      </w:r>
      <w:r w:rsidDel="00000000" w:rsidR="00000000" w:rsidRPr="00000000">
        <w:rPr>
          <w:rFonts w:ascii="Calibri" w:cs="Calibri" w:eastAsia="Calibri" w:hAnsi="Calibri"/>
          <w:sz w:val="18"/>
          <w:szCs w:val="18"/>
          <w:shd w:fill="bfbfbf" w:val="clear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m²/</w:t>
      </w:r>
      <w:r w:rsidDel="00000000" w:rsidR="00000000" w:rsidRPr="00000000">
        <w:rPr>
          <w:rFonts w:ascii="Calibri" w:cs="Calibri" w:eastAsia="Calibri" w:hAnsi="Calibri"/>
          <w:sz w:val="18"/>
          <w:szCs w:val="18"/>
          <w:shd w:fill="bfbfbf" w:val="clear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m²                                            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                                  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INFORMAÇÃO DO CADASTRO IMOBILIÁRIO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Inscrição Imobiliária Nº:                                                                                                 Sequencial:  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Inscrição Imobiliária Nº:                                                                                                 Sequencial:  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Inscrição Imobiliária Nº:                                                                                                 Sequencial:  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Inscrição Imobiliária Nº:                                                                                                 Sequencial:  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Inscrição Imobiliária Nº:                                                                                                 Sequencial:  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                     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Inscrição Imobiliária Nº:</w:t>
      </w: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                                        Sequencial:                           </w:t>
      </w:r>
    </w:p>
    <w:p w:rsidR="00000000" w:rsidDel="00000000" w:rsidP="00000000" w:rsidRDefault="00000000" w:rsidRPr="00000000" w14:paraId="00000028">
      <w:pPr>
        <w:tabs>
          <w:tab w:val="left" w:pos="2977"/>
          <w:tab w:val="left" w:pos="6379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DOCUMENTAÇÃO DO IMÓVEL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Nº. de matrícula:                                                        Cartório:                                 Livro:                           Folhas:                                                               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Nº. de matrícula:                                                        Cartório:                                 Livro:                           Folhas:                                                               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Nº. de matrícula:                                                        Cartório:                                 Livro:                           Folhas:                                                               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Nº. de matrícula:                                                        Cartório:                                 Livro:                           Folhas:                                                               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Nº. de matrícula:                                                        Cartório:                                 Livro:                           Folhas:                                                               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Nº. de matrícula:                                                        Cartório:                                 Livro:                           Folhas:                                                               </w:t>
      </w:r>
    </w:p>
    <w:p w:rsidR="00000000" w:rsidDel="00000000" w:rsidP="00000000" w:rsidRDefault="00000000" w:rsidRPr="00000000" w14:paraId="00000031">
      <w:pPr>
        <w:spacing w:after="0" w:line="240" w:lineRule="auto"/>
        <w:ind w:left="2127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3610"/>
          <w:tab w:val="center" w:pos="4819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INFORMAÇÕES SOBRE O </w:t>
      </w:r>
      <w:r w:rsidDel="00000000" w:rsidR="00000000" w:rsidRPr="00000000">
        <w:rPr>
          <w:b w:val="1"/>
          <w:sz w:val="20"/>
          <w:szCs w:val="20"/>
          <w:rtl w:val="0"/>
        </w:rPr>
        <w:t xml:space="preserve">REQUERENTE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tabs>
          <w:tab w:val="left" w:pos="5954"/>
        </w:tabs>
        <w:spacing w:after="0" w:line="288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5954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Nome:      </w:t>
        <w:tab/>
        <w:tab/>
        <w:t xml:space="preserve">CPF/CNPJ: </w:t>
      </w:r>
    </w:p>
    <w:p w:rsidR="00000000" w:rsidDel="00000000" w:rsidP="00000000" w:rsidRDefault="00000000" w:rsidRPr="00000000" w14:paraId="00000035">
      <w:pPr>
        <w:tabs>
          <w:tab w:val="left" w:pos="5954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  <w:sectPr>
          <w:headerReference r:id="rId8" w:type="default"/>
          <w:footerReference r:id="rId9" w:type="default"/>
          <w:pgSz w:h="16838" w:w="11906" w:orient="portrait"/>
          <w:pgMar w:bottom="1134" w:top="2268" w:left="1134" w:right="1134" w:header="284" w:footer="503"/>
          <w:pgNumType w:start="1"/>
        </w:sect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    </w:t>
      </w:r>
    </w:p>
    <w:p w:rsidR="00000000" w:rsidDel="00000000" w:rsidP="00000000" w:rsidRDefault="00000000" w:rsidRPr="00000000" w14:paraId="00000036">
      <w:pPr>
        <w:tabs>
          <w:tab w:val="left" w:pos="6379"/>
        </w:tabs>
        <w:spacing w:after="0" w:line="288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Email:      </w:t>
        <w:tab/>
        <w:tab/>
        <w:t xml:space="preserve">Telefone:      </w:t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35.6299212598435" w:top="2376" w:left="1134" w:right="1134" w:header="284" w:footer="50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SEMURB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Avenida Nevaldo Rocha , 4665 – Tirol – CEP: 59015-450 Fone (84) 3232-8717 www.natal.rn.gov.br/semurb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bfbfbf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bfbfbf"/>
        <w:sz w:val="12"/>
        <w:szCs w:val="12"/>
        <w:u w:val="none"/>
        <w:shd w:fill="auto" w:val="clear"/>
        <w:vertAlign w:val="baseline"/>
        <w:rtl w:val="0"/>
      </w:rPr>
      <w:t xml:space="preserve">Versão 23.10.19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6109970" cy="1242695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91015" y="3158653"/>
                        <a:ext cx="6109970" cy="1242695"/>
                        <a:chOff x="2291015" y="3158653"/>
                        <a:chExt cx="6109335" cy="1242060"/>
                      </a:xfrm>
                    </wpg:grpSpPr>
                    <wpg:grpSp>
                      <wpg:cNvGrpSpPr/>
                      <wpg:grpSpPr>
                        <a:xfrm>
                          <a:off x="2291015" y="3158653"/>
                          <a:ext cx="6109335" cy="1242060"/>
                          <a:chOff x="-3" y="-25"/>
                          <a:chExt cx="9621" cy="1956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-3" y="-25"/>
                            <a:ext cx="9600" cy="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292" y="-25"/>
                            <a:ext cx="1035" cy="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171" y="1214"/>
                            <a:ext cx="5287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6" name="Shape 6"/>
                        <wps:spPr>
                          <a:xfrm>
                            <a:off x="-3" y="1892"/>
                            <a:ext cx="9621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cap="sq" cmpd="sng"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-12699</wp:posOffset>
              </wp:positionV>
              <wp:extent cx="6109970" cy="1242695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09970" cy="12426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1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1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basedOn w:val="Fontepargpadro"/>
    <w:uiPriority w:val="99"/>
    <w:unhideWhenUsed w:val="1"/>
    <w:qFormat w:val="1"/>
    <w:rPr>
      <w:color w:val="0000ff" w:themeColor="hyperlink"/>
      <w:u w:val="single"/>
    </w:rPr>
  </w:style>
  <w:style w:type="paragraph" w:styleId="Lista">
    <w:name w:val="List"/>
    <w:basedOn w:val="Corpodetexto"/>
    <w:qFormat w:val="1"/>
    <w:rPr>
      <w:rFonts w:cs="Mangal"/>
    </w:rPr>
  </w:style>
  <w:style w:type="paragraph" w:styleId="Corpodetexto">
    <w:name w:val="Body Text"/>
    <w:basedOn w:val="Normal"/>
    <w:qFormat w:val="1"/>
    <w:pPr>
      <w:spacing w:after="140" w:line="288" w:lineRule="auto"/>
    </w:pPr>
  </w:style>
  <w:style w:type="paragraph" w:styleId="Corpodetexto3">
    <w:name w:val="Body Text 3"/>
    <w:basedOn w:val="Normal"/>
    <w:link w:val="Corpodetexto3Char"/>
    <w:uiPriority w:val="99"/>
    <w:unhideWhenUsed w:val="1"/>
    <w:qFormat w:val="1"/>
    <w:pPr>
      <w:suppressAutoHyphens w:val="0"/>
      <w:spacing w:after="120"/>
    </w:pPr>
    <w:rPr>
      <w:sz w:val="16"/>
      <w:szCs w:val="16"/>
      <w:lang w:eastAsia="en-US"/>
    </w:rPr>
  </w:style>
  <w:style w:type="paragraph" w:styleId="Pr-formataoHTML">
    <w:name w:val="HTML Preformatted"/>
    <w:basedOn w:val="Normal"/>
    <w:qFormat w:val="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Textodebalo">
    <w:name w:val="Balloon Text"/>
    <w:basedOn w:val="Normal"/>
    <w:qFormat w:val="1"/>
    <w:pPr>
      <w:spacing w:after="0" w:line="240" w:lineRule="auto"/>
    </w:pPr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qFormat w:val="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Fontepargpadro1" w:customStyle="1">
    <w:name w:val="Fonte parág. padrão1"/>
    <w:qFormat w:val="1"/>
  </w:style>
  <w:style w:type="character" w:styleId="CabealhoChar" w:customStyle="1">
    <w:name w:val="Cabeçalho Char"/>
    <w:basedOn w:val="Fontepargpadro1"/>
  </w:style>
  <w:style w:type="character" w:styleId="RodapChar" w:customStyle="1">
    <w:name w:val="Rodapé Char"/>
    <w:basedOn w:val="Fontepargpadro1"/>
  </w:style>
  <w:style w:type="character" w:styleId="TextodebaloChar" w:customStyle="1">
    <w:name w:val="Texto de balão Char"/>
    <w:basedOn w:val="Fontepargpadro1"/>
    <w:qFormat w:val="1"/>
    <w:rPr>
      <w:rFonts w:ascii="Tahoma" w:cs="Tahoma" w:hAnsi="Tahoma"/>
      <w:sz w:val="16"/>
      <w:szCs w:val="16"/>
    </w:rPr>
  </w:style>
  <w:style w:type="character" w:styleId="Pr-formataoHTMLChar" w:customStyle="1">
    <w:name w:val="Pré-formatação HTML Char"/>
    <w:basedOn w:val="Fontepargpadro1"/>
    <w:rPr>
      <w:rFonts w:ascii="Courier New" w:cs="Courier New" w:eastAsia="Times New Roman" w:hAnsi="Courier New"/>
    </w:rPr>
  </w:style>
  <w:style w:type="paragraph" w:styleId="Ttulo1" w:customStyle="1">
    <w:name w:val="Título1"/>
    <w:basedOn w:val="Normal"/>
    <w:next w:val="Corpode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Mangal"/>
    </w:rPr>
  </w:style>
  <w:style w:type="paragraph" w:styleId="PargrafodaLista">
    <w:name w:val="List Paragraph"/>
    <w:basedOn w:val="Normal"/>
    <w:uiPriority w:val="34"/>
    <w:qFormat w:val="1"/>
    <w:pPr>
      <w:suppressAutoHyphens w:val="0"/>
      <w:ind w:left="720"/>
      <w:contextualSpacing w:val="1"/>
    </w:pPr>
    <w:rPr>
      <w:lang w:eastAsia="en-US"/>
    </w:rPr>
  </w:style>
  <w:style w:type="paragraph" w:styleId="Recuodecorpodetexto21" w:customStyle="1">
    <w:name w:val="Recuo de corpo de texto 21"/>
    <w:basedOn w:val="Normal"/>
    <w:qFormat w:val="1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styleId="Recuodecorpodetexto31" w:customStyle="1">
    <w:name w:val="Recuo de corpo de texto 31"/>
    <w:basedOn w:val="Normal"/>
    <w:qFormat w:val="1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character" w:styleId="Corpodetexto3Char" w:customStyle="1">
    <w:name w:val="Corpo de texto 3 Char"/>
    <w:basedOn w:val="Fontepargpadro"/>
    <w:link w:val="Corpodetexto3"/>
    <w:uiPriority w:val="99"/>
    <w:qFormat w:val="1"/>
    <w:rPr>
      <w:rFonts w:ascii="Calibri" w:cs="Times New Roman" w:eastAsia="Calibri" w:hAnsi="Calibri"/>
      <w:sz w:val="16"/>
      <w:szCs w:val="16"/>
      <w:lang w:eastAsia="en-US"/>
    </w:rPr>
  </w:style>
  <w:style w:type="character" w:styleId="pp-headline-item" w:customStyle="1">
    <w:name w:val="pp-headline-item"/>
    <w:basedOn w:val="Fontepargpadro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natal.rn.gov.br/semurb/licenciamento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mmmkGYP1mtbPsstNS1dFeB0rXA==">AMUW2mWPrOrFIMfsydErWmxPcWOLhO2y7u/HvJMIzqZM6YzyzIhK66weKnPKAZujkb2PKzP4VRYHkjZiT+JWt6e7IFWDr92Rs1NN1H6Z0HyX5m3hebRAJOITwzrJh/rVBmTJV5c8+MAT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2019-12-20T12:56:00Z</dcterms:created>
  <dc:creator>USI_06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1046-11.2.0.9906</vt:lpwstr>
  </property>
</Properties>
</file>